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625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190"/>
        <w:gridCol w:w="1436"/>
        <w:gridCol w:w="4343"/>
        <w:gridCol w:w="4639"/>
        <w:gridCol w:w="4030"/>
      </w:tblGrid>
      <w:tr w:rsidR="008272B2" w:rsidRPr="004D086F" w:rsidTr="00C76D2E">
        <w:trPr>
          <w:trHeight w:val="1364"/>
        </w:trPr>
        <w:tc>
          <w:tcPr>
            <w:tcW w:w="630" w:type="dxa"/>
            <w:shd w:val="clear" w:color="auto" w:fill="auto"/>
            <w:vAlign w:val="center"/>
          </w:tcPr>
          <w:p w:rsidR="008272B2" w:rsidRPr="004D086F" w:rsidRDefault="008272B2" w:rsidP="00C76D2E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272B2" w:rsidRPr="004D086F" w:rsidRDefault="008272B2" w:rsidP="00C76D2E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272B2" w:rsidRPr="004D086F" w:rsidRDefault="008272B2" w:rsidP="00C76D2E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4343" w:type="dxa"/>
            <w:shd w:val="clear" w:color="auto" w:fill="auto"/>
            <w:vAlign w:val="center"/>
          </w:tcPr>
          <w:p w:rsidR="008272B2" w:rsidRPr="004D086F" w:rsidRDefault="008272B2" w:rsidP="00C76D2E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639" w:type="dxa"/>
            <w:shd w:val="clear" w:color="auto" w:fill="auto"/>
            <w:vAlign w:val="center"/>
          </w:tcPr>
          <w:p w:rsidR="008272B2" w:rsidRPr="004D086F" w:rsidRDefault="008272B2" w:rsidP="00C76D2E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  <w:tc>
          <w:tcPr>
            <w:tcW w:w="4030" w:type="dxa"/>
          </w:tcPr>
          <w:p w:rsidR="008272B2" w:rsidRDefault="008272B2" w:rsidP="00C76D2E">
            <w:pPr>
              <w:jc w:val="center"/>
              <w:rPr>
                <w:b/>
              </w:rPr>
            </w:pPr>
          </w:p>
          <w:p w:rsidR="008272B2" w:rsidRDefault="008272B2" w:rsidP="00C76D2E">
            <w:pPr>
              <w:jc w:val="center"/>
              <w:rPr>
                <w:b/>
              </w:rPr>
            </w:pPr>
          </w:p>
          <w:p w:rsidR="008272B2" w:rsidRPr="004D086F" w:rsidRDefault="008272B2" w:rsidP="00C76D2E">
            <w:pPr>
              <w:jc w:val="center"/>
              <w:rPr>
                <w:b/>
              </w:rPr>
            </w:pPr>
            <w:r>
              <w:rPr>
                <w:b/>
              </w:rPr>
              <w:t>Stanowisko</w:t>
            </w:r>
          </w:p>
        </w:tc>
      </w:tr>
      <w:tr w:rsidR="008272B2" w:rsidTr="00C76D2E">
        <w:trPr>
          <w:trHeight w:val="6015"/>
        </w:trPr>
        <w:tc>
          <w:tcPr>
            <w:tcW w:w="630" w:type="dxa"/>
            <w:shd w:val="clear" w:color="auto" w:fill="auto"/>
          </w:tcPr>
          <w:p w:rsidR="008272B2" w:rsidRPr="004D086F" w:rsidRDefault="008272B2" w:rsidP="00C76D2E">
            <w:pPr>
              <w:spacing w:before="60" w:after="60"/>
              <w:jc w:val="center"/>
              <w:rPr>
                <w:b/>
              </w:rPr>
            </w:pPr>
            <w:r w:rsidRPr="004D086F">
              <w:rPr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8272B2" w:rsidRPr="004D086F" w:rsidRDefault="008272B2" w:rsidP="00C76D2E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MIiR</w:t>
            </w:r>
            <w:proofErr w:type="spellEnd"/>
          </w:p>
        </w:tc>
        <w:tc>
          <w:tcPr>
            <w:tcW w:w="1436" w:type="dxa"/>
            <w:shd w:val="clear" w:color="auto" w:fill="auto"/>
          </w:tcPr>
          <w:p w:rsidR="008272B2" w:rsidRPr="00655C21" w:rsidRDefault="008272B2" w:rsidP="00C76D2E">
            <w:pPr>
              <w:jc w:val="center"/>
              <w:rPr>
                <w:b/>
              </w:rPr>
            </w:pPr>
            <w:r w:rsidRPr="00655C21">
              <w:rPr>
                <w:b/>
              </w:rPr>
              <w:t>ogólna</w:t>
            </w:r>
          </w:p>
        </w:tc>
        <w:tc>
          <w:tcPr>
            <w:tcW w:w="4343" w:type="dxa"/>
            <w:shd w:val="clear" w:color="auto" w:fill="auto"/>
          </w:tcPr>
          <w:p w:rsidR="008272B2" w:rsidRDefault="008272B2" w:rsidP="00C76D2E">
            <w:r w:rsidRPr="00655C21">
              <w:t>Przedmiotowy projekt ustawy wprowadza pojęcie systemu rejestrów państwowych (SRP), który będzie stanowić rozwiązanie organizacyjno-techniczne, wykorzystywane do prowadzenia rejestrów publicznych. W uzasadnieniu zostało jednocześnie wskazane, że minister właściwy do spraw informatyzacji zostanie zobowiązany do określenia standardów technologicznych funkcjonowania SRP, w tym w szczególności: wymiany danych przetwarzanych w rejestrach publicznych utrzymywanych z wykorzystaniem SRP, określenie zasad przyłączania rejestrów, określenie zasad technologicznych udostępniania danych i zasilania rejestrów oraz określenie zasad utrzymania rejestrów wchodzących w skład SRP</w:t>
            </w:r>
            <w:r>
              <w:t>. A</w:t>
            </w:r>
            <w:r w:rsidRPr="00655C21">
              <w:t xml:space="preserve">ni w projekcie ustawy ani w uzasadnieniu czy OSR nie zostało wyjaśnione </w:t>
            </w:r>
            <w:r>
              <w:t xml:space="preserve">czy </w:t>
            </w:r>
            <w:r w:rsidRPr="00655C21">
              <w:t>wskazane, które rejestry publiczne będą utrzymywane z wykorzystaniem SRP, a co za tym idzie będą musiały być dostosowywane do standardów technologicznych udostępnianych przez ministra właściwego do spraw informatyzacji.</w:t>
            </w:r>
          </w:p>
        </w:tc>
        <w:tc>
          <w:tcPr>
            <w:tcW w:w="4639" w:type="dxa"/>
            <w:shd w:val="clear" w:color="auto" w:fill="auto"/>
          </w:tcPr>
          <w:p w:rsidR="008272B2" w:rsidRDefault="008272B2" w:rsidP="00C76D2E">
            <w:r>
              <w:t xml:space="preserve">Istotne jest jednoznaczne określenie (chociażby w uzasadnieniu projektu), czy intencją projektodawcy jest objęcie regulacjami przedmiotowej ustawy ewidencji gruntów i budynków. </w:t>
            </w:r>
          </w:p>
          <w:p w:rsidR="008272B2" w:rsidRDefault="008272B2" w:rsidP="00C76D2E">
            <w:r>
              <w:t xml:space="preserve">Należy podkreślić, że chociaż ewidencja gruntów i budynków stanowi element państwowego zasobu geodezyjnego i kartograficznego będącego własnością Skarbu Państwa, to zadanie jej prowadzenia zostało powierzone organom jednostek samorządu terytorialnego (starostom) jako zadanie z zakresu administracji rządowej. Oznacza to, że ewidencja gruntów i budynków prowadzona jest w 380 ośrodkach przy wykorzystaniu różnych systemów teleinformatycznych. Fakt ten rzutuje na konieczność określenia w projekcie skutków finansowych ewentualnego dostosowania systemów teleinformatycznych przy wykorzystaniu, których prowadzona jest ewidencja gruntów i budynków dla poszczególnych powiatów do </w:t>
            </w:r>
            <w:r w:rsidRPr="00655C21">
              <w:t xml:space="preserve">wymogów projektowanej ustawy i aktów wykonawczych do niej. </w:t>
            </w:r>
            <w:r>
              <w:t>wymogów projektowanej ustawy i aktów wykonawczych do niej.</w:t>
            </w:r>
          </w:p>
        </w:tc>
        <w:tc>
          <w:tcPr>
            <w:tcW w:w="4030" w:type="dxa"/>
          </w:tcPr>
          <w:p w:rsidR="008272B2" w:rsidRPr="0059565B" w:rsidRDefault="008272B2" w:rsidP="00C76D2E">
            <w:pPr>
              <w:spacing w:after="120"/>
            </w:pPr>
            <w:r w:rsidRPr="0059565B">
              <w:t>Wyjaśniając wątpliwości informuję, że w systemie rejestrów państwowych (SRP) będą znajdować się tylko te rejestry, co do których podmioty za nie odpowiedzialne podejmą decyzja o przyłączeniu się do SRP. Decyzja będzie opierała się na zasadzie dobrowolności</w:t>
            </w:r>
          </w:p>
          <w:p w:rsidR="008272B2" w:rsidRDefault="008272B2" w:rsidP="00C76D2E">
            <w:pPr>
              <w:spacing w:after="120"/>
            </w:pPr>
            <w:r w:rsidRPr="0059565B">
              <w:t>Jednocześnie wskazuję, że stosowna informacja dotycząca przedstawionego powyżej doprecyzowania zostanie zamieszczona w uzasadnieniu do projektu ustawy.</w:t>
            </w:r>
          </w:p>
          <w:p w:rsidR="00C15EAF" w:rsidRPr="0059565B" w:rsidRDefault="00C15EAF" w:rsidP="00C76D2E">
            <w:pPr>
              <w:spacing w:after="120"/>
            </w:pPr>
            <w:bookmarkStart w:id="0" w:name="_GoBack"/>
            <w:bookmarkEnd w:id="0"/>
          </w:p>
          <w:p w:rsidR="008272B2" w:rsidRDefault="008272B2" w:rsidP="00C76D2E"/>
        </w:tc>
      </w:tr>
    </w:tbl>
    <w:p w:rsidR="00903E58" w:rsidRDefault="00C15EAF"/>
    <w:sectPr w:rsidR="00903E58" w:rsidSect="008272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2B2"/>
    <w:rsid w:val="00553CB9"/>
    <w:rsid w:val="00667C82"/>
    <w:rsid w:val="008272B2"/>
    <w:rsid w:val="00C1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27A6E-95EC-423A-9109-68AD881C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Ignaciuk Katarzyna</dc:creator>
  <cp:keywords/>
  <dc:description/>
  <cp:lastModifiedBy>Witkowska-Krzymowska Magdalena</cp:lastModifiedBy>
  <cp:revision>3</cp:revision>
  <dcterms:created xsi:type="dcterms:W3CDTF">2019-06-27T13:26:00Z</dcterms:created>
  <dcterms:modified xsi:type="dcterms:W3CDTF">2019-06-27T15:58:00Z</dcterms:modified>
</cp:coreProperties>
</file>